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EB0E" w14:textId="35108A18" w:rsidR="00E00A70" w:rsidRDefault="003E1C79" w:rsidP="003E1C79">
      <w:pPr>
        <w:jc w:val="center"/>
        <w:rPr>
          <w:rFonts w:ascii="Palatino Linotype" w:hAnsi="Palatino Linotype"/>
          <w:b/>
          <w:bCs/>
          <w:u w:val="single"/>
        </w:rPr>
      </w:pPr>
      <w:proofErr w:type="spellStart"/>
      <w:r>
        <w:rPr>
          <w:rFonts w:ascii="Palatino Linotype" w:hAnsi="Palatino Linotype"/>
          <w:b/>
          <w:bCs/>
          <w:u w:val="single"/>
        </w:rPr>
        <w:t>Farore</w:t>
      </w:r>
      <w:proofErr w:type="spellEnd"/>
      <w:r>
        <w:rPr>
          <w:rFonts w:ascii="Palatino Linotype" w:hAnsi="Palatino Linotype"/>
          <w:b/>
          <w:bCs/>
          <w:u w:val="single"/>
        </w:rPr>
        <w:t xml:space="preserve"> Law Mini Guide for start-up founders</w:t>
      </w:r>
    </w:p>
    <w:p w14:paraId="36228C6B" w14:textId="77777777" w:rsidR="003E1C79" w:rsidRDefault="003E1C79" w:rsidP="003E1C79">
      <w:pPr>
        <w:rPr>
          <w:rFonts w:ascii="Palatino Linotype" w:hAnsi="Palatino Linotype"/>
          <w:b/>
          <w:bCs/>
          <w:u w:val="single"/>
        </w:rPr>
      </w:pPr>
    </w:p>
    <w:p w14:paraId="2A133458" w14:textId="72791EDA" w:rsidR="003E1C79" w:rsidRDefault="003E1C79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 at </w:t>
      </w:r>
      <w:proofErr w:type="spellStart"/>
      <w:r>
        <w:rPr>
          <w:rFonts w:ascii="Palatino Linotype" w:hAnsi="Palatino Linotype"/>
        </w:rPr>
        <w:t>Farore</w:t>
      </w:r>
      <w:proofErr w:type="spellEnd"/>
      <w:r>
        <w:rPr>
          <w:rFonts w:ascii="Palatino Linotype" w:hAnsi="Palatino Linotype"/>
        </w:rPr>
        <w:t xml:space="preserve"> Law have represented a tech start-up in a shareholders’ dispute at the Business and Property Court, arising out of a falling out between </w:t>
      </w:r>
      <w:r w:rsidR="001C1E4E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 xml:space="preserve">ounders after the start-up had been incorporated and received substantial venture capital funding. Shareholders’ disputes between </w:t>
      </w:r>
      <w:r w:rsidR="001C1E4E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>ounders may prove highly disruptive for the business and costly.</w:t>
      </w:r>
    </w:p>
    <w:p w14:paraId="6DF0A622" w14:textId="2813CA8D" w:rsidR="003E1C79" w:rsidRDefault="003E1C79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purpose of this </w:t>
      </w:r>
      <w:proofErr w:type="gramStart"/>
      <w:r>
        <w:rPr>
          <w:rFonts w:ascii="Palatino Linotype" w:hAnsi="Palatino Linotype"/>
        </w:rPr>
        <w:t>mini-guide</w:t>
      </w:r>
      <w:proofErr w:type="gramEnd"/>
      <w:r>
        <w:rPr>
          <w:rFonts w:ascii="Palatino Linotype" w:hAnsi="Palatino Linotype"/>
        </w:rPr>
        <w:t xml:space="preserve"> is to set out ways to protect a start-up from </w:t>
      </w:r>
      <w:r w:rsidR="001C1E4E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>ounder disputes at the moment of incorporation.</w:t>
      </w:r>
      <w:r w:rsidR="002B7657">
        <w:rPr>
          <w:rFonts w:ascii="Palatino Linotype" w:hAnsi="Palatino Linotype"/>
        </w:rPr>
        <w:t xml:space="preserve"> This </w:t>
      </w:r>
      <w:proofErr w:type="gramStart"/>
      <w:r w:rsidR="002B7657">
        <w:rPr>
          <w:rFonts w:ascii="Palatino Linotype" w:hAnsi="Palatino Linotype"/>
        </w:rPr>
        <w:t>mini-guide</w:t>
      </w:r>
      <w:proofErr w:type="gramEnd"/>
      <w:r w:rsidR="002B7657">
        <w:rPr>
          <w:rFonts w:ascii="Palatino Linotype" w:hAnsi="Palatino Linotype"/>
        </w:rPr>
        <w:t xml:space="preserve"> also highlights potential risks arising from a departing Founder.</w:t>
      </w:r>
    </w:p>
    <w:p w14:paraId="282EC477" w14:textId="77777777" w:rsidR="001A78A4" w:rsidRDefault="001A78A4" w:rsidP="003E1C79">
      <w:pPr>
        <w:jc w:val="both"/>
        <w:rPr>
          <w:rFonts w:ascii="Palatino Linotype" w:hAnsi="Palatino Linotype"/>
          <w:b/>
          <w:bCs/>
        </w:rPr>
      </w:pPr>
    </w:p>
    <w:p w14:paraId="35DBCC31" w14:textId="294DC942" w:rsidR="00184A5C" w:rsidRPr="00184A5C" w:rsidRDefault="00184A5C" w:rsidP="003E1C79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Please note that this guide should not be construed as legal advice. If you are a start-up and you need guidance on preventing founder disputes or </w:t>
      </w:r>
      <w:r w:rsidR="001A78A4">
        <w:rPr>
          <w:rFonts w:ascii="Palatino Linotype" w:hAnsi="Palatino Linotype"/>
          <w:b/>
          <w:bCs/>
        </w:rPr>
        <w:t>advice in defending a founder dispute, please contact us separately for specialist legal advice and representation.</w:t>
      </w:r>
    </w:p>
    <w:p w14:paraId="515BE991" w14:textId="77777777" w:rsidR="001A78A4" w:rsidRDefault="001A78A4" w:rsidP="003E1C79">
      <w:pPr>
        <w:jc w:val="both"/>
        <w:rPr>
          <w:rFonts w:ascii="Palatino Linotype" w:hAnsi="Palatino Linotype"/>
          <w:b/>
          <w:bCs/>
          <w:u w:val="single"/>
        </w:rPr>
      </w:pPr>
    </w:p>
    <w:p w14:paraId="2CD0015D" w14:textId="2533DAC1" w:rsidR="003E1C79" w:rsidRDefault="003E1C79" w:rsidP="003E1C79">
      <w:pPr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Should the Articles of Association be based on the Model Articles?</w:t>
      </w:r>
    </w:p>
    <w:p w14:paraId="22C764C0" w14:textId="398D9773" w:rsidR="003E1C79" w:rsidRDefault="00513000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When you incorporate a company, you </w:t>
      </w:r>
      <w:r w:rsidR="00184746">
        <w:rPr>
          <w:rFonts w:ascii="Palatino Linotype" w:hAnsi="Palatino Linotype"/>
        </w:rPr>
        <w:t>may</w:t>
      </w:r>
      <w:r>
        <w:rPr>
          <w:rFonts w:ascii="Palatino Linotype" w:hAnsi="Palatino Linotype"/>
        </w:rPr>
        <w:t xml:space="preserve"> adopt the Articles of Association based off the Model Articles</w:t>
      </w:r>
      <w:r w:rsidR="00184746">
        <w:rPr>
          <w:rFonts w:ascii="Palatino Linotype" w:hAnsi="Palatino Linotype"/>
        </w:rPr>
        <w:t xml:space="preserve"> or deviate from it.</w:t>
      </w:r>
    </w:p>
    <w:p w14:paraId="1A82BF36" w14:textId="356A0D44" w:rsidR="00513000" w:rsidRDefault="00513000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Although the Model Articles is often fit for purpose for many private limited companies, </w:t>
      </w:r>
      <w:r w:rsidR="0004479A">
        <w:rPr>
          <w:rFonts w:ascii="Palatino Linotype" w:hAnsi="Palatino Linotype"/>
        </w:rPr>
        <w:t xml:space="preserve">start-up </w:t>
      </w:r>
      <w:r w:rsidR="001C1E4E">
        <w:rPr>
          <w:rFonts w:ascii="Palatino Linotype" w:hAnsi="Palatino Linotype"/>
        </w:rPr>
        <w:t>F</w:t>
      </w:r>
      <w:r w:rsidR="0004479A">
        <w:rPr>
          <w:rFonts w:ascii="Palatino Linotype" w:hAnsi="Palatino Linotype"/>
        </w:rPr>
        <w:t xml:space="preserve">ounders should consider tailoring the articles to ensure that it is fit for purpose for a </w:t>
      </w:r>
      <w:r w:rsidR="001C1E4E">
        <w:rPr>
          <w:rFonts w:ascii="Palatino Linotype" w:hAnsi="Palatino Linotype"/>
        </w:rPr>
        <w:t>F</w:t>
      </w:r>
      <w:r w:rsidR="0004479A">
        <w:rPr>
          <w:rFonts w:ascii="Palatino Linotype" w:hAnsi="Palatino Linotype"/>
        </w:rPr>
        <w:t>ounder-led company.</w:t>
      </w:r>
    </w:p>
    <w:p w14:paraId="6E6CF4F4" w14:textId="4A7A1A59" w:rsidR="0004479A" w:rsidRDefault="0004479A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 way of example, </w:t>
      </w:r>
      <w:r w:rsidR="00506ACC">
        <w:rPr>
          <w:rFonts w:ascii="Palatino Linotype" w:hAnsi="Palatino Linotype"/>
        </w:rPr>
        <w:t xml:space="preserve">sometimes founders have disagreements which results in one or more </w:t>
      </w:r>
      <w:r w:rsidR="001C1E4E">
        <w:rPr>
          <w:rFonts w:ascii="Palatino Linotype" w:hAnsi="Palatino Linotype"/>
        </w:rPr>
        <w:t>F</w:t>
      </w:r>
      <w:r w:rsidR="00506ACC">
        <w:rPr>
          <w:rFonts w:ascii="Palatino Linotype" w:hAnsi="Palatino Linotype"/>
        </w:rPr>
        <w:t xml:space="preserve">ounders leaving a start-up. In such circumstances, it would be fundamentally unfair if a departing </w:t>
      </w:r>
      <w:r w:rsidR="001C1E4E">
        <w:rPr>
          <w:rFonts w:ascii="Palatino Linotype" w:hAnsi="Palatino Linotype"/>
        </w:rPr>
        <w:t>F</w:t>
      </w:r>
      <w:r w:rsidR="00154014">
        <w:rPr>
          <w:rFonts w:ascii="Palatino Linotype" w:hAnsi="Palatino Linotype"/>
        </w:rPr>
        <w:t>ounder is allowed to keep his/her shares particularly where the start-up is at an early stage</w:t>
      </w:r>
      <w:r w:rsidR="00A02587">
        <w:rPr>
          <w:rFonts w:ascii="Palatino Linotype" w:hAnsi="Palatino Linotype"/>
        </w:rPr>
        <w:t xml:space="preserve">. </w:t>
      </w:r>
      <w:r w:rsidR="005920FC">
        <w:rPr>
          <w:rFonts w:ascii="Palatino Linotype" w:hAnsi="Palatino Linotype"/>
        </w:rPr>
        <w:t>After all, why should the Founder be allowed to benefit from the Company’s growth if he/she no longer provides services to the Company as an employee?</w:t>
      </w:r>
    </w:p>
    <w:p w14:paraId="0E508054" w14:textId="77777777" w:rsidR="003A6279" w:rsidRDefault="007C37B6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 avoid this from occurring, we regularly see start-ups adopting a vesting schedule in their articles of association whereby shares become gradually vested over a specified period time</w:t>
      </w:r>
      <w:r w:rsidR="00E46F67">
        <w:rPr>
          <w:rFonts w:ascii="Palatino Linotype" w:hAnsi="Palatino Linotype"/>
        </w:rPr>
        <w:t xml:space="preserve"> (e.g., 3 years). </w:t>
      </w:r>
    </w:p>
    <w:p w14:paraId="5F06F14A" w14:textId="3BB1C1E5" w:rsidR="003A6279" w:rsidRDefault="003A6279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our experience, we have also seen </w:t>
      </w:r>
      <w:r w:rsidR="00DA0C99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rticles of </w:t>
      </w:r>
      <w:r w:rsidR="00DA0C99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ssociations with provisions requiring shareholders to be </w:t>
      </w:r>
      <w:r w:rsidR="00DA0C99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ervice </w:t>
      </w:r>
      <w:r w:rsidR="00DA0C99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roviders of the Company </w:t>
      </w:r>
      <w:proofErr w:type="gramStart"/>
      <w:r>
        <w:rPr>
          <w:rFonts w:ascii="Palatino Linotype" w:hAnsi="Palatino Linotype"/>
        </w:rPr>
        <w:t>in order to</w:t>
      </w:r>
      <w:proofErr w:type="gramEnd"/>
      <w:r>
        <w:rPr>
          <w:rFonts w:ascii="Palatino Linotype" w:hAnsi="Palatino Linotype"/>
        </w:rPr>
        <w:t xml:space="preserve"> ensure their shares become vested. This in essence imposes a requirement whereby </w:t>
      </w:r>
      <w:r w:rsidR="00DA0C99">
        <w:rPr>
          <w:rFonts w:ascii="Palatino Linotype" w:hAnsi="Palatino Linotype"/>
        </w:rPr>
        <w:t>the Founders</w:t>
      </w:r>
      <w:r>
        <w:rPr>
          <w:rFonts w:ascii="Palatino Linotype" w:hAnsi="Palatino Linotype"/>
        </w:rPr>
        <w:t xml:space="preserve"> must remain employed by the Company to ensure that their shares become fully vested.</w:t>
      </w:r>
    </w:p>
    <w:p w14:paraId="7AA224D5" w14:textId="480C2214" w:rsidR="003A6279" w:rsidRDefault="005D408E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 way of example, we’ve seen an </w:t>
      </w:r>
      <w:r w:rsidR="00DA0C99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rticles of </w:t>
      </w:r>
      <w:r w:rsidR="00DA0C99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ssociation with </w:t>
      </w:r>
      <w:r w:rsidR="003A6279">
        <w:rPr>
          <w:rFonts w:ascii="Palatino Linotype" w:hAnsi="Palatino Linotype"/>
        </w:rPr>
        <w:t>the following vesting provision: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279" w14:paraId="5542F628" w14:textId="77777777" w:rsidTr="003A6279">
        <w:tc>
          <w:tcPr>
            <w:tcW w:w="4508" w:type="dxa"/>
          </w:tcPr>
          <w:p w14:paraId="3BD47780" w14:textId="504FF43A" w:rsidR="003A6279" w:rsidRDefault="003A6279" w:rsidP="003E1C7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of departure as a Service Provider</w:t>
            </w:r>
          </w:p>
        </w:tc>
        <w:tc>
          <w:tcPr>
            <w:tcW w:w="4508" w:type="dxa"/>
          </w:tcPr>
          <w:p w14:paraId="60F94117" w14:textId="1FD4BF51" w:rsidR="003A6279" w:rsidRDefault="003A6279" w:rsidP="003E1C7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% vested</w:t>
            </w:r>
          </w:p>
        </w:tc>
      </w:tr>
      <w:tr w:rsidR="003A6279" w14:paraId="0D730CA9" w14:textId="77777777" w:rsidTr="003A6279">
        <w:tc>
          <w:tcPr>
            <w:tcW w:w="4508" w:type="dxa"/>
          </w:tcPr>
          <w:p w14:paraId="04EA3E77" w14:textId="75F5AF47" w:rsidR="003A6279" w:rsidRDefault="003A6279" w:rsidP="003E1C7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Within 12 months of the Relevant Date (as defined in the Articles)</w:t>
            </w:r>
          </w:p>
        </w:tc>
        <w:tc>
          <w:tcPr>
            <w:tcW w:w="4508" w:type="dxa"/>
          </w:tcPr>
          <w:p w14:paraId="296B1E38" w14:textId="6D5237BE" w:rsidR="003A6279" w:rsidRDefault="003A6279" w:rsidP="003E1C7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</w:tr>
      <w:tr w:rsidR="003A6279" w14:paraId="08D448DA" w14:textId="77777777" w:rsidTr="003A6279">
        <w:tc>
          <w:tcPr>
            <w:tcW w:w="4508" w:type="dxa"/>
          </w:tcPr>
          <w:p w14:paraId="11B9595C" w14:textId="37E65E64" w:rsidR="003A6279" w:rsidRDefault="003A6279" w:rsidP="003E1C7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 months after the Relevant Date</w:t>
            </w:r>
          </w:p>
        </w:tc>
        <w:tc>
          <w:tcPr>
            <w:tcW w:w="4508" w:type="dxa"/>
          </w:tcPr>
          <w:p w14:paraId="0EA5C71C" w14:textId="2DF7DDC7" w:rsidR="003A6279" w:rsidRDefault="003A6279" w:rsidP="003E1C7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</w:tc>
      </w:tr>
      <w:tr w:rsidR="003A6279" w14:paraId="526F1056" w14:textId="77777777" w:rsidTr="003A6279">
        <w:tc>
          <w:tcPr>
            <w:tcW w:w="4508" w:type="dxa"/>
          </w:tcPr>
          <w:p w14:paraId="52FB9834" w14:textId="39D0716C" w:rsidR="003A6279" w:rsidRDefault="006A1B39" w:rsidP="003E1C7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Each quarter beginning on the first anniversary of the Relevant Date and until all such founder Shares are vested in full</w:t>
            </w:r>
          </w:p>
        </w:tc>
        <w:tc>
          <w:tcPr>
            <w:tcW w:w="4508" w:type="dxa"/>
          </w:tcPr>
          <w:p w14:paraId="190AE7E6" w14:textId="0FA79312" w:rsidR="003A6279" w:rsidRDefault="006A1B39" w:rsidP="003E1C79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Remaining 75% </w:t>
            </w:r>
            <w:r w:rsidR="007C4F91">
              <w:rPr>
                <w:rFonts w:ascii="Palatino Linotype" w:hAnsi="Palatino Linotype"/>
              </w:rPr>
              <w:t>vested in equal instalments of 6.25% on a quarterly basis</w:t>
            </w:r>
          </w:p>
        </w:tc>
      </w:tr>
    </w:tbl>
    <w:p w14:paraId="675AB6AD" w14:textId="77777777" w:rsidR="005D408E" w:rsidRDefault="005D408E" w:rsidP="003E1C79">
      <w:pPr>
        <w:jc w:val="both"/>
        <w:rPr>
          <w:rFonts w:ascii="Palatino Linotype" w:hAnsi="Palatino Linotype"/>
        </w:rPr>
      </w:pPr>
    </w:p>
    <w:p w14:paraId="049DAF2E" w14:textId="70772C42" w:rsidR="007C37B6" w:rsidRDefault="00E46F67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This is often coupled with </w:t>
      </w:r>
      <w:r w:rsidR="006278C9">
        <w:rPr>
          <w:rFonts w:ascii="Palatino Linotype" w:hAnsi="Palatino Linotype"/>
        </w:rPr>
        <w:t>G</w:t>
      </w:r>
      <w:r>
        <w:rPr>
          <w:rFonts w:ascii="Palatino Linotype" w:hAnsi="Palatino Linotype"/>
        </w:rPr>
        <w:t xml:space="preserve">ood </w:t>
      </w:r>
      <w:r w:rsidR="006278C9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eaver/</w:t>
      </w:r>
      <w:r w:rsidR="006278C9"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 xml:space="preserve">ad </w:t>
      </w:r>
      <w:r w:rsidR="006278C9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 xml:space="preserve">eaver provisions, where the </w:t>
      </w:r>
      <w:proofErr w:type="gramStart"/>
      <w:r w:rsidR="003235B1">
        <w:rPr>
          <w:rFonts w:ascii="Palatino Linotype" w:hAnsi="Palatino Linotype"/>
        </w:rPr>
        <w:t>manner in which</w:t>
      </w:r>
      <w:proofErr w:type="gramEnd"/>
      <w:r w:rsidR="003235B1">
        <w:rPr>
          <w:rFonts w:ascii="Palatino Linotype" w:hAnsi="Palatino Linotype"/>
        </w:rPr>
        <w:t xml:space="preserve"> the Company treats the departing </w:t>
      </w:r>
      <w:r w:rsidR="00D51212">
        <w:rPr>
          <w:rFonts w:ascii="Palatino Linotype" w:hAnsi="Palatino Linotype"/>
        </w:rPr>
        <w:t>F</w:t>
      </w:r>
      <w:r w:rsidR="003235B1">
        <w:rPr>
          <w:rFonts w:ascii="Palatino Linotype" w:hAnsi="Palatino Linotype"/>
        </w:rPr>
        <w:t>ounder’s shares will depend on the circumstances of his/her departure.</w:t>
      </w:r>
    </w:p>
    <w:p w14:paraId="2D365FD3" w14:textId="087CAD1F" w:rsidR="003235B1" w:rsidRDefault="003235B1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By way of example, if a </w:t>
      </w:r>
      <w:r w:rsidR="00D51212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 xml:space="preserve">ounder </w:t>
      </w:r>
      <w:r w:rsidR="009918B3">
        <w:rPr>
          <w:rFonts w:ascii="Palatino Linotype" w:hAnsi="Palatino Linotype"/>
        </w:rPr>
        <w:t xml:space="preserve">leaves the Company as a Good Leaver and his/her shares are not fully vested, the Company may (depending on the provisions of the Articles) agree to buy the </w:t>
      </w:r>
      <w:r w:rsidR="00D51212">
        <w:rPr>
          <w:rFonts w:ascii="Palatino Linotype" w:hAnsi="Palatino Linotype"/>
        </w:rPr>
        <w:t>F</w:t>
      </w:r>
      <w:r w:rsidR="009918B3">
        <w:rPr>
          <w:rFonts w:ascii="Palatino Linotype" w:hAnsi="Palatino Linotype"/>
        </w:rPr>
        <w:t xml:space="preserve">ounder’s shares on a fair market valuation. Whereas certain </w:t>
      </w:r>
      <w:r w:rsidR="00126803">
        <w:rPr>
          <w:rFonts w:ascii="Palatino Linotype" w:hAnsi="Palatino Linotype"/>
        </w:rPr>
        <w:t>under certain circumstances, a Bad Leaver may be required to sell his/her shares at a nominal value.</w:t>
      </w:r>
    </w:p>
    <w:p w14:paraId="74897F0B" w14:textId="5B41B363" w:rsidR="006278C9" w:rsidRDefault="006278C9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Examples of </w:t>
      </w:r>
      <w:r w:rsidR="002801CE">
        <w:rPr>
          <w:rFonts w:ascii="Palatino Linotype" w:hAnsi="Palatino Linotype"/>
        </w:rPr>
        <w:t xml:space="preserve">a departing Founder becoming a Good Leaver includes where the Founder leaves the Company due to ill-health, </w:t>
      </w:r>
      <w:proofErr w:type="gramStart"/>
      <w:r w:rsidR="002801CE">
        <w:rPr>
          <w:rFonts w:ascii="Palatino Linotype" w:hAnsi="Palatino Linotype"/>
        </w:rPr>
        <w:t>disability</w:t>
      </w:r>
      <w:proofErr w:type="gramEnd"/>
      <w:r w:rsidR="002801CE">
        <w:rPr>
          <w:rFonts w:ascii="Palatino Linotype" w:hAnsi="Palatino Linotype"/>
        </w:rPr>
        <w:t xml:space="preserve"> or retirement.</w:t>
      </w:r>
    </w:p>
    <w:p w14:paraId="4474AE17" w14:textId="77777777" w:rsidR="003E1C79" w:rsidRDefault="003E1C79" w:rsidP="003E1C79">
      <w:pPr>
        <w:jc w:val="both"/>
        <w:rPr>
          <w:rFonts w:ascii="Palatino Linotype" w:hAnsi="Palatino Linotype"/>
          <w:b/>
          <w:bCs/>
          <w:u w:val="single"/>
        </w:rPr>
      </w:pPr>
    </w:p>
    <w:p w14:paraId="11BF2550" w14:textId="763EAE3C" w:rsidR="003E1C79" w:rsidRDefault="003E1C79" w:rsidP="003E1C79">
      <w:pPr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Why should we have a shareholders’ agreement?</w:t>
      </w:r>
    </w:p>
    <w:p w14:paraId="1B3A9103" w14:textId="71054369" w:rsidR="00344041" w:rsidRDefault="007C4F91" w:rsidP="00C60B3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shareholders’ agreement is vital in a start-up</w:t>
      </w:r>
      <w:r w:rsidR="00C60B30">
        <w:rPr>
          <w:rFonts w:ascii="Palatino Linotype" w:hAnsi="Palatino Linotype"/>
        </w:rPr>
        <w:t>, as it</w:t>
      </w:r>
      <w:r w:rsidR="00CA7BDF">
        <w:rPr>
          <w:rFonts w:ascii="Palatino Linotype" w:hAnsi="Palatino Linotype"/>
        </w:rPr>
        <w:t xml:space="preserve"> is meant to regulate the affairs amongst shareholders</w:t>
      </w:r>
      <w:r w:rsidR="00CE4FD2">
        <w:rPr>
          <w:rFonts w:ascii="Palatino Linotype" w:hAnsi="Palatino Linotype"/>
        </w:rPr>
        <w:t xml:space="preserve">. </w:t>
      </w:r>
      <w:r w:rsidR="00344041">
        <w:rPr>
          <w:rFonts w:ascii="Palatino Linotype" w:hAnsi="Palatino Linotype"/>
        </w:rPr>
        <w:t>By way of example, the agreement can be used to agree the composition of the board structure, management arrangements and how shareholders exercise their voting rights in the Company.</w:t>
      </w:r>
    </w:p>
    <w:p w14:paraId="0405CA8D" w14:textId="37E65AEA" w:rsidR="00D82825" w:rsidRDefault="00CE4FD2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</w:t>
      </w:r>
      <w:r w:rsidR="00D82825">
        <w:rPr>
          <w:rFonts w:ascii="Palatino Linotype" w:hAnsi="Palatino Linotype"/>
        </w:rPr>
        <w:t xml:space="preserve">f properly drafted, </w:t>
      </w:r>
      <w:r>
        <w:rPr>
          <w:rFonts w:ascii="Palatino Linotype" w:hAnsi="Palatino Linotype"/>
        </w:rPr>
        <w:t>the shareholders’ agreement c</w:t>
      </w:r>
      <w:r w:rsidR="00D82825">
        <w:rPr>
          <w:rFonts w:ascii="Palatino Linotype" w:hAnsi="Palatino Linotype"/>
        </w:rPr>
        <w:t xml:space="preserve">an ensure that the Founders’ interests are protected and not undermined by </w:t>
      </w:r>
      <w:r w:rsidR="00C60A8A">
        <w:rPr>
          <w:rFonts w:ascii="Palatino Linotype" w:hAnsi="Palatino Linotype"/>
        </w:rPr>
        <w:t xml:space="preserve">investors. We often see situations where Founders </w:t>
      </w:r>
      <w:proofErr w:type="gramStart"/>
      <w:r w:rsidR="00C60A8A">
        <w:rPr>
          <w:rFonts w:ascii="Palatino Linotype" w:hAnsi="Palatino Linotype"/>
        </w:rPr>
        <w:t>have to</w:t>
      </w:r>
      <w:proofErr w:type="gramEnd"/>
      <w:r w:rsidR="00C60A8A">
        <w:rPr>
          <w:rFonts w:ascii="Palatino Linotype" w:hAnsi="Palatino Linotype"/>
        </w:rPr>
        <w:t xml:space="preserve"> dilute their shareholdings in order to attract investments and a shareholders’ agreement, if properly drafted, can </w:t>
      </w:r>
      <w:r>
        <w:rPr>
          <w:rFonts w:ascii="Palatino Linotype" w:hAnsi="Palatino Linotype"/>
        </w:rPr>
        <w:t>protect the interests of minority shareholders.</w:t>
      </w:r>
    </w:p>
    <w:p w14:paraId="00149F1A" w14:textId="726F0F4F" w:rsidR="00344041" w:rsidRPr="007C4F91" w:rsidRDefault="00344041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Many shareholders’ agreements also contain restrictive covenants</w:t>
      </w:r>
      <w:r w:rsidR="00820D60">
        <w:rPr>
          <w:rFonts w:ascii="Palatino Linotype" w:hAnsi="Palatino Linotype"/>
        </w:rPr>
        <w:t xml:space="preserve"> to ensure that a shareholder does not act in a way which undermines the interests of the Company, such as by soliciting clients </w:t>
      </w:r>
      <w:r w:rsidR="00055C2A">
        <w:rPr>
          <w:rFonts w:ascii="Palatino Linotype" w:hAnsi="Palatino Linotype"/>
        </w:rPr>
        <w:t xml:space="preserve">to a competitor within a specified time frame upon departure. Unlike restrictive covenants in a contract of employment, courts are generally more liberal in upholding restrictive covenants in a shareholders’ agreement, particularly where the shareholder subject to the restrictive covenant is given a substantial amount of </w:t>
      </w:r>
      <w:r w:rsidR="001E14C6">
        <w:rPr>
          <w:rFonts w:ascii="Palatino Linotype" w:hAnsi="Palatino Linotype"/>
        </w:rPr>
        <w:t>shareholding.</w:t>
      </w:r>
    </w:p>
    <w:p w14:paraId="7D049032" w14:textId="77777777" w:rsidR="00CE4FD2" w:rsidRDefault="00CE4FD2" w:rsidP="003E1C79">
      <w:pPr>
        <w:jc w:val="both"/>
        <w:rPr>
          <w:rFonts w:ascii="Palatino Linotype" w:hAnsi="Palatino Linotype"/>
          <w:b/>
          <w:bCs/>
          <w:u w:val="single"/>
        </w:rPr>
      </w:pPr>
    </w:p>
    <w:p w14:paraId="3203A7D5" w14:textId="36873B8E" w:rsidR="003E1C79" w:rsidRDefault="003E1C79" w:rsidP="003E1C79">
      <w:pPr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Should the Founders be given a contract of employment? If so, what provisions should be set out in the contract of employment?</w:t>
      </w:r>
    </w:p>
    <w:p w14:paraId="19C12E61" w14:textId="10828AD8" w:rsidR="00574733" w:rsidRDefault="00257156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 set out above, some start-up’s Articles of Association imposes a requirement in their vesting provisions that shares only become vested so long as the Founder </w:t>
      </w:r>
      <w:r w:rsidR="00574733">
        <w:rPr>
          <w:rFonts w:ascii="Palatino Linotype" w:hAnsi="Palatino Linotype"/>
        </w:rPr>
        <w:t xml:space="preserve">remains a Service Provider in the Company. In these circumstances, it is appropriate to provide the Founder-Director with a contract of employment </w:t>
      </w:r>
      <w:r w:rsidR="008E69AE">
        <w:rPr>
          <w:rFonts w:ascii="Palatino Linotype" w:hAnsi="Palatino Linotype"/>
        </w:rPr>
        <w:t>that sets out the duties and responsibilities of the Founder as a Director of the Company.</w:t>
      </w:r>
    </w:p>
    <w:p w14:paraId="78932FC8" w14:textId="01FB8E22" w:rsidR="008E69AE" w:rsidRDefault="008E69AE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Our experience is that some start-ups contain provisions whereby a </w:t>
      </w:r>
      <w:r w:rsidR="000725B1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 xml:space="preserve">ounder is required to resign from his/her position as a statutory director upon termination of </w:t>
      </w:r>
      <w:r w:rsidR="00D57DB2">
        <w:rPr>
          <w:rFonts w:ascii="Palatino Linotype" w:hAnsi="Palatino Linotype"/>
        </w:rPr>
        <w:t xml:space="preserve">their </w:t>
      </w:r>
      <w:r>
        <w:rPr>
          <w:rFonts w:ascii="Palatino Linotype" w:hAnsi="Palatino Linotype"/>
        </w:rPr>
        <w:t xml:space="preserve">employment. In circumstances where the </w:t>
      </w:r>
      <w:r w:rsidR="000725B1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 xml:space="preserve">ounder refuses to voluntarily resign, the Company may </w:t>
      </w:r>
      <w:proofErr w:type="gramStart"/>
      <w:r w:rsidR="006F068C">
        <w:rPr>
          <w:rFonts w:ascii="Palatino Linotype" w:hAnsi="Palatino Linotype"/>
        </w:rPr>
        <w:t>have</w:t>
      </w:r>
      <w:r w:rsidR="00AC574B">
        <w:rPr>
          <w:rFonts w:ascii="Palatino Linotype" w:hAnsi="Palatino Linotype"/>
        </w:rPr>
        <w:t xml:space="preserve"> </w:t>
      </w:r>
      <w:r w:rsidR="006F068C">
        <w:rPr>
          <w:rFonts w:ascii="Palatino Linotype" w:hAnsi="Palatino Linotype"/>
        </w:rPr>
        <w:t xml:space="preserve"> </w:t>
      </w:r>
      <w:r w:rsidR="00AC574B" w:rsidRPr="00AC574B">
        <w:rPr>
          <w:rFonts w:ascii="Palatino Linotype" w:hAnsi="Palatino Linotype"/>
        </w:rPr>
        <w:t>(</w:t>
      </w:r>
      <w:proofErr w:type="gramEnd"/>
      <w:r w:rsidR="00AC574B" w:rsidRPr="00AC574B">
        <w:rPr>
          <w:rFonts w:ascii="Palatino Linotype" w:hAnsi="Palatino Linotype"/>
        </w:rPr>
        <w:t xml:space="preserve">depending on the terms of the contract of employment) </w:t>
      </w:r>
      <w:r w:rsidR="006F068C">
        <w:rPr>
          <w:rFonts w:ascii="Palatino Linotype" w:hAnsi="Palatino Linotype"/>
        </w:rPr>
        <w:t xml:space="preserve">power of attorney to procure the </w:t>
      </w:r>
      <w:r w:rsidR="000725B1">
        <w:rPr>
          <w:rFonts w:ascii="Palatino Linotype" w:hAnsi="Palatino Linotype"/>
        </w:rPr>
        <w:t>F</w:t>
      </w:r>
      <w:r w:rsidR="006F068C">
        <w:rPr>
          <w:rFonts w:ascii="Palatino Linotype" w:hAnsi="Palatino Linotype"/>
        </w:rPr>
        <w:t xml:space="preserve">ounder’s resignation upon dismissal. Such terms </w:t>
      </w:r>
      <w:r w:rsidR="00190C06">
        <w:rPr>
          <w:rFonts w:ascii="Palatino Linotype" w:hAnsi="Palatino Linotype"/>
        </w:rPr>
        <w:t>are</w:t>
      </w:r>
      <w:r w:rsidR="006F068C">
        <w:rPr>
          <w:rFonts w:ascii="Palatino Linotype" w:hAnsi="Palatino Linotype"/>
        </w:rPr>
        <w:t xml:space="preserve"> essential to ensure that the Founder’s status as a statutory director is conditional on remaining an employee of the Company.</w:t>
      </w:r>
      <w:r w:rsidR="00190C06">
        <w:rPr>
          <w:rFonts w:ascii="Palatino Linotype" w:hAnsi="Palatino Linotype"/>
        </w:rPr>
        <w:t xml:space="preserve"> This also enables a Founder to cease his/her statutory directorship without the Company having to call a General Meeting to vote the Founder out of the Board of Directors (as is ordinarily the case under the Model Articles).</w:t>
      </w:r>
    </w:p>
    <w:p w14:paraId="1F6421C7" w14:textId="712826D1" w:rsidR="006F068C" w:rsidRDefault="000C67E4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Typically, the contract of employment will not contain any contractual disciplinary procedures in place to ensure that the Company is able to summarily dismiss a Founder </w:t>
      </w:r>
      <w:r w:rsidR="00E87527">
        <w:rPr>
          <w:rFonts w:ascii="Palatino Linotype" w:hAnsi="Palatino Linotype"/>
        </w:rPr>
        <w:t>with greater flexibility.</w:t>
      </w:r>
      <w:r w:rsidR="00960A03">
        <w:rPr>
          <w:rFonts w:ascii="Palatino Linotype" w:hAnsi="Palatino Linotype"/>
        </w:rPr>
        <w:t xml:space="preserve"> If a contract of employment does provide for a contractual disciplinary procedure, failure to adhere to such procedure may result in the Company being liable for wrongful dismissal.</w:t>
      </w:r>
    </w:p>
    <w:p w14:paraId="156777E6" w14:textId="77777777" w:rsidR="00E87527" w:rsidRPr="001E14C6" w:rsidRDefault="00E87527" w:rsidP="003E1C79">
      <w:pPr>
        <w:jc w:val="both"/>
        <w:rPr>
          <w:rFonts w:ascii="Palatino Linotype" w:hAnsi="Palatino Linotype"/>
        </w:rPr>
      </w:pPr>
    </w:p>
    <w:p w14:paraId="1C059382" w14:textId="7B6EEDA3" w:rsidR="00184A5C" w:rsidRDefault="00184A5C" w:rsidP="003E1C79">
      <w:pPr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 xml:space="preserve">What risks might arise </w:t>
      </w:r>
      <w:r w:rsidR="00391EDA">
        <w:rPr>
          <w:rFonts w:ascii="Palatino Linotype" w:hAnsi="Palatino Linotype"/>
          <w:b/>
          <w:bCs/>
          <w:u w:val="single"/>
        </w:rPr>
        <w:t>when a Founder is dismissed?</w:t>
      </w:r>
    </w:p>
    <w:p w14:paraId="08B07F43" w14:textId="66D10E83" w:rsidR="00184A5C" w:rsidRDefault="00E87527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unfortunate reality is that when there is a falling out among Founders</w:t>
      </w:r>
      <w:r w:rsidR="00573E89">
        <w:rPr>
          <w:rFonts w:ascii="Palatino Linotype" w:hAnsi="Palatino Linotype"/>
        </w:rPr>
        <w:t>, litigation becomes a real possibility.</w:t>
      </w:r>
    </w:p>
    <w:p w14:paraId="293770C4" w14:textId="77777777" w:rsidR="004A0511" w:rsidRDefault="004A0511" w:rsidP="003E1C79">
      <w:pPr>
        <w:jc w:val="both"/>
        <w:rPr>
          <w:rFonts w:ascii="Palatino Linotype" w:hAnsi="Palatino Linotype"/>
          <w:i/>
          <w:iCs/>
        </w:rPr>
      </w:pPr>
    </w:p>
    <w:p w14:paraId="575A2080" w14:textId="3F729128" w:rsidR="00B92929" w:rsidRPr="00B92929" w:rsidRDefault="00B92929" w:rsidP="003E1C79">
      <w:pPr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Employment claims</w:t>
      </w:r>
    </w:p>
    <w:p w14:paraId="5EB75812" w14:textId="2A5B3276" w:rsidR="003E1C79" w:rsidRDefault="00BE4707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If</w:t>
      </w:r>
      <w:r w:rsidR="00573E89">
        <w:rPr>
          <w:rFonts w:ascii="Palatino Linotype" w:hAnsi="Palatino Linotype"/>
        </w:rPr>
        <w:t xml:space="preserve"> the Founder has less than two years’ employment and the contract of employment does not contain any contractual disciplinary procedures, the Company is able to </w:t>
      </w:r>
      <w:r w:rsidR="00A32085">
        <w:rPr>
          <w:rFonts w:ascii="Palatino Linotype" w:hAnsi="Palatino Linotype"/>
        </w:rPr>
        <w:t>summarily dismiss the Founder</w:t>
      </w:r>
      <w:r>
        <w:rPr>
          <w:rFonts w:ascii="Palatino Linotype" w:hAnsi="Palatino Linotype"/>
        </w:rPr>
        <w:t>. However, if the dismissal is improperly handled, this may give rise to a discrimination or whistleblowing claim depending on the circumstances.</w:t>
      </w:r>
    </w:p>
    <w:p w14:paraId="4EA1F9D8" w14:textId="77777777" w:rsidR="00B92929" w:rsidRDefault="00B92929" w:rsidP="003E1C79">
      <w:pPr>
        <w:jc w:val="both"/>
        <w:rPr>
          <w:rFonts w:ascii="Palatino Linotype" w:hAnsi="Palatino Linotype"/>
        </w:rPr>
      </w:pPr>
    </w:p>
    <w:p w14:paraId="4A0E1EEA" w14:textId="2D2C1F19" w:rsidR="00B92929" w:rsidRPr="00B92929" w:rsidRDefault="00B92929" w:rsidP="003E1C79">
      <w:pPr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Contractual claims</w:t>
      </w:r>
    </w:p>
    <w:p w14:paraId="5EC034C6" w14:textId="07346BD8" w:rsidR="00727094" w:rsidRDefault="002E1E31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There is also the risk of becoming subject to High Court action where it is alleged that the Founder’s departure was in breach of the contract of employment, shareholders’ </w:t>
      </w:r>
      <w:proofErr w:type="gramStart"/>
      <w:r>
        <w:rPr>
          <w:rFonts w:ascii="Palatino Linotype" w:hAnsi="Palatino Linotype"/>
        </w:rPr>
        <w:t>agreement</w:t>
      </w:r>
      <w:proofErr w:type="gramEnd"/>
      <w:r>
        <w:rPr>
          <w:rFonts w:ascii="Palatino Linotype" w:hAnsi="Palatino Linotype"/>
        </w:rPr>
        <w:t xml:space="preserve"> or the </w:t>
      </w:r>
      <w:r w:rsidR="00DB22DF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rticles of </w:t>
      </w:r>
      <w:r w:rsidR="00DB22DF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ssociation.  For example, the Founder may disagree with becoming labelled a “Bad Leaver” and </w:t>
      </w:r>
      <w:r w:rsidR="00D05A7D">
        <w:rPr>
          <w:rFonts w:ascii="Palatino Linotype" w:hAnsi="Palatino Linotype"/>
        </w:rPr>
        <w:t xml:space="preserve">may bring a breach of contract and/or declaratory claim in the High Court </w:t>
      </w:r>
      <w:proofErr w:type="gramStart"/>
      <w:r w:rsidR="00D05A7D">
        <w:rPr>
          <w:rFonts w:ascii="Palatino Linotype" w:hAnsi="Palatino Linotype"/>
        </w:rPr>
        <w:t>as a result of</w:t>
      </w:r>
      <w:proofErr w:type="gramEnd"/>
      <w:r w:rsidR="00D05A7D">
        <w:rPr>
          <w:rFonts w:ascii="Palatino Linotype" w:hAnsi="Palatino Linotype"/>
        </w:rPr>
        <w:t xml:space="preserve"> this.</w:t>
      </w:r>
    </w:p>
    <w:p w14:paraId="1720A789" w14:textId="7C41383B" w:rsidR="004A0511" w:rsidRDefault="000C4BB8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Some Good Leaver/Bad Leaver provisions may give the Company the discretion to label a Founder a “Good Leaver” notwithstanding the nature of the Founder’s departure. </w:t>
      </w:r>
      <w:r w:rsidR="001729C1">
        <w:rPr>
          <w:rFonts w:ascii="Palatino Linotype" w:hAnsi="Palatino Linotype"/>
        </w:rPr>
        <w:t xml:space="preserve">Although such provisions are ordinarily drafted to confer broad discretion on the Company, the Company nonetheless owes a duty not to exercise its discretion in an irrational or capricious manner. Failure to </w:t>
      </w:r>
      <w:r w:rsidR="0028054C">
        <w:rPr>
          <w:rFonts w:ascii="Palatino Linotype" w:hAnsi="Palatino Linotype"/>
        </w:rPr>
        <w:t>adhere to such duty may give rise to a breach of contract claim.</w:t>
      </w:r>
    </w:p>
    <w:p w14:paraId="12D01897" w14:textId="77777777" w:rsidR="00B92929" w:rsidRDefault="00B92929" w:rsidP="003E1C79">
      <w:pPr>
        <w:jc w:val="both"/>
        <w:rPr>
          <w:rFonts w:ascii="Palatino Linotype" w:hAnsi="Palatino Linotype"/>
        </w:rPr>
      </w:pPr>
    </w:p>
    <w:p w14:paraId="05650057" w14:textId="467BF70D" w:rsidR="00B92929" w:rsidRPr="00B92929" w:rsidRDefault="00B92929" w:rsidP="003E1C79">
      <w:pPr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Unfair prejudice</w:t>
      </w:r>
    </w:p>
    <w:p w14:paraId="58D8799D" w14:textId="02200755" w:rsidR="00D05A7D" w:rsidRDefault="00D05A7D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Given that Founder/Directors are almost invariably shareholders</w:t>
      </w:r>
      <w:r w:rsidR="002657C2">
        <w:rPr>
          <w:rFonts w:ascii="Palatino Linotype" w:hAnsi="Palatino Linotype"/>
        </w:rPr>
        <w:t xml:space="preserve"> of the start-up</w:t>
      </w:r>
      <w:r>
        <w:rPr>
          <w:rFonts w:ascii="Palatino Linotype" w:hAnsi="Palatino Linotype"/>
        </w:rPr>
        <w:t>, there is also the risk that the start-up may become subject to an unfair prejudice petition.</w:t>
      </w:r>
      <w:r w:rsidR="00450063">
        <w:rPr>
          <w:rFonts w:ascii="Palatino Linotype" w:hAnsi="Palatino Linotype"/>
        </w:rPr>
        <w:t xml:space="preserve"> An unfair prejudice petition may be sought by a shareholder where the affairs of the company are being, or have been, conducted in a manner </w:t>
      </w:r>
      <w:r w:rsidR="001C5434">
        <w:rPr>
          <w:rFonts w:ascii="Palatino Linotype" w:hAnsi="Palatino Linotype"/>
        </w:rPr>
        <w:t xml:space="preserve">that is unfairly prejudicial to his/her interests as a shareholder. The most common remedy sought </w:t>
      </w:r>
      <w:r w:rsidR="00C61B32">
        <w:rPr>
          <w:rFonts w:ascii="Palatino Linotype" w:hAnsi="Palatino Linotype"/>
        </w:rPr>
        <w:t>is for the shares of the petitioner to be bought by other members of the Company.</w:t>
      </w:r>
    </w:p>
    <w:p w14:paraId="0182F0D9" w14:textId="0D1A9918" w:rsidR="00383B28" w:rsidRDefault="00383B28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Unfair prejudice petitions can be made where the shareholder can demonstrate that he/she had any interest other than to have the company’s affairs conducted </w:t>
      </w:r>
      <w:r w:rsidR="00F42021">
        <w:rPr>
          <w:rFonts w:ascii="Palatino Linotype" w:hAnsi="Palatino Linotype"/>
        </w:rPr>
        <w:t>in accordance with the Articles of Association or any other written agreement governing the terms of membership (such as a Shareholders’ Agreement).</w:t>
      </w:r>
      <w:r w:rsidR="000D7D33">
        <w:rPr>
          <w:rFonts w:ascii="Palatino Linotype" w:hAnsi="Palatino Linotype"/>
        </w:rPr>
        <w:t xml:space="preserve"> With unfair prejudice petitions, the court </w:t>
      </w:r>
      <w:proofErr w:type="gramStart"/>
      <w:r w:rsidR="000D7D33">
        <w:rPr>
          <w:rFonts w:ascii="Palatino Linotype" w:hAnsi="Palatino Linotype"/>
        </w:rPr>
        <w:t>is able to</w:t>
      </w:r>
      <w:proofErr w:type="gramEnd"/>
      <w:r w:rsidR="000D7D33">
        <w:rPr>
          <w:rFonts w:ascii="Palatino Linotype" w:hAnsi="Palatino Linotype"/>
        </w:rPr>
        <w:t xml:space="preserve"> give effect to informal agreements and understandings</w:t>
      </w:r>
      <w:r w:rsidR="0097103B">
        <w:rPr>
          <w:rFonts w:ascii="Palatino Linotype" w:hAnsi="Palatino Linotype"/>
        </w:rPr>
        <w:t xml:space="preserve"> which have been relied upon. Such informal agreements/understandings need not have binding legal force</w:t>
      </w:r>
      <w:r w:rsidR="00BB44EF">
        <w:rPr>
          <w:rFonts w:ascii="Palatino Linotype" w:hAnsi="Palatino Linotype"/>
        </w:rPr>
        <w:t>.</w:t>
      </w:r>
    </w:p>
    <w:p w14:paraId="661781C6" w14:textId="38B92CA3" w:rsidR="00A53FA8" w:rsidRDefault="00E92A76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 Articles of Association or Shareholders’ Agreement, if carefully drafted, may protect a Company from an unfair prejudice petition. By way of example, courts have in the past struck-out unfair prejudice petitions based on alleged exclusion from management where provisions of the Articles provided the other members with an option to buy the shares </w:t>
      </w:r>
      <w:r w:rsidR="000E5A81">
        <w:rPr>
          <w:rFonts w:ascii="Palatino Linotype" w:hAnsi="Palatino Linotype"/>
        </w:rPr>
        <w:t>of the petitioning member at a value to be determined by the Company’s auditors on their ceasing to be a director or employee of the Company.</w:t>
      </w:r>
    </w:p>
    <w:p w14:paraId="27EB0F06" w14:textId="77777777" w:rsidR="000F0226" w:rsidRDefault="000F0226" w:rsidP="003E1C79">
      <w:pPr>
        <w:jc w:val="both"/>
        <w:rPr>
          <w:rFonts w:ascii="Palatino Linotype" w:hAnsi="Palatino Linotype"/>
        </w:rPr>
      </w:pPr>
    </w:p>
    <w:p w14:paraId="095F78D3" w14:textId="39D14D76" w:rsidR="000F0226" w:rsidRDefault="000F0226" w:rsidP="003E1C79">
      <w:pPr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Just and equitable winding-up</w:t>
      </w:r>
    </w:p>
    <w:p w14:paraId="5A8F9A95" w14:textId="691F722E" w:rsidR="000F0226" w:rsidRDefault="000F0226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exceptional circumstances, a Founder may attempt to wind-up the</w:t>
      </w:r>
      <w:r w:rsidR="008C4C3F">
        <w:rPr>
          <w:rFonts w:ascii="Palatino Linotype" w:hAnsi="Palatino Linotype"/>
        </w:rPr>
        <w:t xml:space="preserve"> Company on just and equitable grounds, such as where a breakdown in trust and confidence amongst Founders result in the shareholders being unable to cooperate and the Company experiencing a deadlock at board or shareholder level</w:t>
      </w:r>
      <w:r w:rsidR="006D7D69">
        <w:rPr>
          <w:rFonts w:ascii="Palatino Linotype" w:hAnsi="Palatino Linotype"/>
        </w:rPr>
        <w:t>.</w:t>
      </w:r>
    </w:p>
    <w:p w14:paraId="308FE18C" w14:textId="244FA1A8" w:rsidR="006D7D69" w:rsidRDefault="006D7D69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It should be noted that winding up on the just and equitable ground is a remedy of last resort and is the exception, not the norm </w:t>
      </w:r>
      <w:r w:rsidR="00E470A9">
        <w:rPr>
          <w:rFonts w:ascii="Palatino Linotype" w:hAnsi="Palatino Linotype"/>
        </w:rPr>
        <w:t>in</w:t>
      </w:r>
      <w:r>
        <w:rPr>
          <w:rFonts w:ascii="Palatino Linotype" w:hAnsi="Palatino Linotype"/>
        </w:rPr>
        <w:t xml:space="preserve"> shareholder disputes. For example, the court </w:t>
      </w:r>
      <w:r w:rsidR="00BA3241">
        <w:rPr>
          <w:rFonts w:ascii="Palatino Linotype" w:hAnsi="Palatino Linotype"/>
        </w:rPr>
        <w:t>will generally decline a winding-up order if the petitioner is entitled to other relief (such as by bringing an unfair prejudice petition).</w:t>
      </w:r>
    </w:p>
    <w:p w14:paraId="0C37E735" w14:textId="3898228F" w:rsidR="00D865B3" w:rsidRDefault="00D865B3" w:rsidP="003E1C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At any event, a</w:t>
      </w:r>
      <w:r w:rsidR="004A0511">
        <w:rPr>
          <w:rFonts w:ascii="Palatino Linotype" w:hAnsi="Palatino Linotype"/>
        </w:rPr>
        <w:t>s set out above, a</w:t>
      </w:r>
      <w:r>
        <w:rPr>
          <w:rFonts w:ascii="Palatino Linotype" w:hAnsi="Palatino Linotype"/>
        </w:rPr>
        <w:t xml:space="preserve"> start-up with a properly drafted Articles of Association and Shareholders’ Agreement should be well placed to prevent </w:t>
      </w:r>
      <w:r w:rsidR="004A0511">
        <w:rPr>
          <w:rFonts w:ascii="Palatino Linotype" w:hAnsi="Palatino Linotype"/>
        </w:rPr>
        <w:t>a management deadlock in circumstances where there is a falling out between Founders.</w:t>
      </w:r>
    </w:p>
    <w:p w14:paraId="3C4C3DF3" w14:textId="77777777" w:rsidR="00112B38" w:rsidRDefault="00112B38" w:rsidP="003E1C79">
      <w:pPr>
        <w:jc w:val="both"/>
        <w:rPr>
          <w:rFonts w:ascii="Palatino Linotype" w:hAnsi="Palatino Linotype"/>
        </w:rPr>
      </w:pPr>
    </w:p>
    <w:p w14:paraId="1C69F81F" w14:textId="2755791C" w:rsidR="00112B38" w:rsidRPr="00112B38" w:rsidRDefault="00112B38" w:rsidP="003E1C79">
      <w:pPr>
        <w:jc w:val="both"/>
        <w:rPr>
          <w:rFonts w:ascii="Palatino Linotype" w:hAnsi="Palatino Linotype"/>
          <w:b/>
          <w:bCs/>
        </w:rPr>
      </w:pPr>
      <w:proofErr w:type="spellStart"/>
      <w:r>
        <w:rPr>
          <w:rFonts w:ascii="Palatino Linotype" w:hAnsi="Palatino Linotype"/>
          <w:b/>
          <w:bCs/>
        </w:rPr>
        <w:t>Farore</w:t>
      </w:r>
      <w:proofErr w:type="spellEnd"/>
      <w:r>
        <w:rPr>
          <w:rFonts w:ascii="Palatino Linotype" w:hAnsi="Palatino Linotype"/>
          <w:b/>
          <w:bCs/>
        </w:rPr>
        <w:t xml:space="preserve"> Law is a boutique employment litigation firm with extensive experience in advising and representing senior executives, Founders and start-ups in employment</w:t>
      </w:r>
      <w:r w:rsidR="006428E1">
        <w:rPr>
          <w:rFonts w:ascii="Palatino Linotype" w:hAnsi="Palatino Linotype"/>
          <w:b/>
          <w:bCs/>
        </w:rPr>
        <w:t>/founder</w:t>
      </w:r>
      <w:r>
        <w:rPr>
          <w:rFonts w:ascii="Palatino Linotype" w:hAnsi="Palatino Linotype"/>
          <w:b/>
          <w:bCs/>
        </w:rPr>
        <w:t xml:space="preserve"> disputes and restrictive covenants. Our lawyers are well placed in representing clients in complex, high-value litigation in the Employment Tribunals and the civil courts. Our background as litigators also makes us well placed to </w:t>
      </w:r>
      <w:r w:rsidR="00F432CE">
        <w:rPr>
          <w:rFonts w:ascii="Palatino Linotype" w:hAnsi="Palatino Linotype"/>
          <w:b/>
          <w:bCs/>
        </w:rPr>
        <w:t xml:space="preserve">represent clients in mediations and secure favourable settlements. If you are a start-up or a Founder requiring advice and representation in a shareholders’ dispute, please contact us at </w:t>
      </w:r>
      <w:hyperlink r:id="rId6" w:history="1">
        <w:r w:rsidR="00F432CE" w:rsidRPr="001930D5">
          <w:rPr>
            <w:rStyle w:val="Hyperlink"/>
            <w:rFonts w:ascii="Palatino Linotype" w:hAnsi="Palatino Linotype"/>
            <w:b/>
            <w:bCs/>
          </w:rPr>
          <w:t>info@farorelaw.co.uk</w:t>
        </w:r>
      </w:hyperlink>
      <w:r w:rsidR="00F432CE">
        <w:rPr>
          <w:rFonts w:ascii="Palatino Linotype" w:hAnsi="Palatino Linotype"/>
          <w:b/>
          <w:bCs/>
        </w:rPr>
        <w:t xml:space="preserve">. </w:t>
      </w:r>
    </w:p>
    <w:p w14:paraId="4FF4B7D9" w14:textId="77777777" w:rsidR="003E1C79" w:rsidRDefault="003E1C79" w:rsidP="003E1C79">
      <w:pPr>
        <w:jc w:val="both"/>
        <w:rPr>
          <w:rFonts w:ascii="Palatino Linotype" w:hAnsi="Palatino Linotype"/>
          <w:b/>
          <w:bCs/>
          <w:u w:val="single"/>
        </w:rPr>
      </w:pPr>
    </w:p>
    <w:p w14:paraId="30D9D8A1" w14:textId="77777777" w:rsidR="003E1C79" w:rsidRPr="003E1C79" w:rsidRDefault="003E1C79" w:rsidP="003E1C79">
      <w:pPr>
        <w:rPr>
          <w:rFonts w:ascii="Palatino Linotype" w:hAnsi="Palatino Linotype"/>
        </w:rPr>
      </w:pPr>
    </w:p>
    <w:sectPr w:rsidR="003E1C79" w:rsidRPr="003E1C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19D5" w14:textId="77777777" w:rsidR="00184A5C" w:rsidRDefault="00184A5C" w:rsidP="00184A5C">
      <w:pPr>
        <w:spacing w:after="0" w:line="240" w:lineRule="auto"/>
      </w:pPr>
      <w:r>
        <w:separator/>
      </w:r>
    </w:p>
  </w:endnote>
  <w:endnote w:type="continuationSeparator" w:id="0">
    <w:p w14:paraId="5908B0D9" w14:textId="77777777" w:rsidR="00184A5C" w:rsidRDefault="00184A5C" w:rsidP="001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196631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7BB898FD" w14:textId="5C294A3F" w:rsidR="00184A5C" w:rsidRPr="00184A5C" w:rsidRDefault="00184A5C">
        <w:pPr>
          <w:pStyle w:val="Footer"/>
          <w:jc w:val="right"/>
          <w:rPr>
            <w:rFonts w:ascii="Palatino Linotype" w:hAnsi="Palatino Linotype"/>
          </w:rPr>
        </w:pPr>
        <w:r w:rsidRPr="00184A5C">
          <w:rPr>
            <w:rFonts w:ascii="Palatino Linotype" w:hAnsi="Palatino Linotype"/>
          </w:rPr>
          <w:fldChar w:fldCharType="begin"/>
        </w:r>
        <w:r w:rsidRPr="00184A5C">
          <w:rPr>
            <w:rFonts w:ascii="Palatino Linotype" w:hAnsi="Palatino Linotype"/>
          </w:rPr>
          <w:instrText>PAGE   \* MERGEFORMAT</w:instrText>
        </w:r>
        <w:r w:rsidRPr="00184A5C">
          <w:rPr>
            <w:rFonts w:ascii="Palatino Linotype" w:hAnsi="Palatino Linotype"/>
          </w:rPr>
          <w:fldChar w:fldCharType="separate"/>
        </w:r>
        <w:r w:rsidRPr="00184A5C">
          <w:rPr>
            <w:rFonts w:ascii="Palatino Linotype" w:hAnsi="Palatino Linotype"/>
          </w:rPr>
          <w:t>2</w:t>
        </w:r>
        <w:r w:rsidRPr="00184A5C">
          <w:rPr>
            <w:rFonts w:ascii="Palatino Linotype" w:hAnsi="Palatino Linotype"/>
          </w:rPr>
          <w:fldChar w:fldCharType="end"/>
        </w:r>
      </w:p>
    </w:sdtContent>
  </w:sdt>
  <w:p w14:paraId="2E9DE3AE" w14:textId="77777777" w:rsidR="00184A5C" w:rsidRDefault="00184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9FA9" w14:textId="77777777" w:rsidR="00184A5C" w:rsidRDefault="00184A5C" w:rsidP="00184A5C">
      <w:pPr>
        <w:spacing w:after="0" w:line="240" w:lineRule="auto"/>
      </w:pPr>
      <w:r>
        <w:separator/>
      </w:r>
    </w:p>
  </w:footnote>
  <w:footnote w:type="continuationSeparator" w:id="0">
    <w:p w14:paraId="14D8DC7B" w14:textId="77777777" w:rsidR="00184A5C" w:rsidRDefault="00184A5C" w:rsidP="00184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79"/>
    <w:rsid w:val="00016DA8"/>
    <w:rsid w:val="0004479A"/>
    <w:rsid w:val="00055C2A"/>
    <w:rsid w:val="000725B1"/>
    <w:rsid w:val="000C4BB8"/>
    <w:rsid w:val="000C67E4"/>
    <w:rsid w:val="000D7D33"/>
    <w:rsid w:val="000E5A81"/>
    <w:rsid w:val="000F0226"/>
    <w:rsid w:val="000F5BFE"/>
    <w:rsid w:val="00112B38"/>
    <w:rsid w:val="00126803"/>
    <w:rsid w:val="00154014"/>
    <w:rsid w:val="001729C1"/>
    <w:rsid w:val="00184746"/>
    <w:rsid w:val="00184A5C"/>
    <w:rsid w:val="00190C06"/>
    <w:rsid w:val="001A78A4"/>
    <w:rsid w:val="001C1E4E"/>
    <w:rsid w:val="001C5434"/>
    <w:rsid w:val="001E14C6"/>
    <w:rsid w:val="00257156"/>
    <w:rsid w:val="002657C2"/>
    <w:rsid w:val="002801CE"/>
    <w:rsid w:val="0028054C"/>
    <w:rsid w:val="002B7657"/>
    <w:rsid w:val="002E1E31"/>
    <w:rsid w:val="00316204"/>
    <w:rsid w:val="003235B1"/>
    <w:rsid w:val="00344041"/>
    <w:rsid w:val="00383B28"/>
    <w:rsid w:val="00391EDA"/>
    <w:rsid w:val="003A6279"/>
    <w:rsid w:val="003E1C79"/>
    <w:rsid w:val="00450063"/>
    <w:rsid w:val="004A0511"/>
    <w:rsid w:val="0050316A"/>
    <w:rsid w:val="00506ACC"/>
    <w:rsid w:val="00513000"/>
    <w:rsid w:val="00533300"/>
    <w:rsid w:val="00573E89"/>
    <w:rsid w:val="00574733"/>
    <w:rsid w:val="005920FC"/>
    <w:rsid w:val="005D408E"/>
    <w:rsid w:val="006278C9"/>
    <w:rsid w:val="006428E1"/>
    <w:rsid w:val="006A1B39"/>
    <w:rsid w:val="006D7D69"/>
    <w:rsid w:val="006F068C"/>
    <w:rsid w:val="00727094"/>
    <w:rsid w:val="0077099F"/>
    <w:rsid w:val="007C37B6"/>
    <w:rsid w:val="007C4F91"/>
    <w:rsid w:val="007F1AF4"/>
    <w:rsid w:val="00820D60"/>
    <w:rsid w:val="008C4C3F"/>
    <w:rsid w:val="008E69AE"/>
    <w:rsid w:val="00960A03"/>
    <w:rsid w:val="0097103B"/>
    <w:rsid w:val="009918B3"/>
    <w:rsid w:val="009C4D91"/>
    <w:rsid w:val="00A02587"/>
    <w:rsid w:val="00A32085"/>
    <w:rsid w:val="00A53FA8"/>
    <w:rsid w:val="00AC574B"/>
    <w:rsid w:val="00B92929"/>
    <w:rsid w:val="00BA3241"/>
    <w:rsid w:val="00BB44EF"/>
    <w:rsid w:val="00BE4707"/>
    <w:rsid w:val="00C60A8A"/>
    <w:rsid w:val="00C60B30"/>
    <w:rsid w:val="00C61B32"/>
    <w:rsid w:val="00C63851"/>
    <w:rsid w:val="00CA0E38"/>
    <w:rsid w:val="00CA7BDF"/>
    <w:rsid w:val="00CE2E8D"/>
    <w:rsid w:val="00CE4FD2"/>
    <w:rsid w:val="00D05A7D"/>
    <w:rsid w:val="00D51212"/>
    <w:rsid w:val="00D57DB2"/>
    <w:rsid w:val="00D82825"/>
    <w:rsid w:val="00D865B3"/>
    <w:rsid w:val="00DA0C99"/>
    <w:rsid w:val="00DB22DF"/>
    <w:rsid w:val="00E00A70"/>
    <w:rsid w:val="00E46F67"/>
    <w:rsid w:val="00E470A9"/>
    <w:rsid w:val="00E87527"/>
    <w:rsid w:val="00E92A76"/>
    <w:rsid w:val="00EC11F9"/>
    <w:rsid w:val="00F42021"/>
    <w:rsid w:val="00F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BD12"/>
  <w15:chartTrackingRefBased/>
  <w15:docId w15:val="{BBAFA9CB-4FB2-43DC-8C95-3ACEBBA2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5C"/>
  </w:style>
  <w:style w:type="paragraph" w:styleId="Footer">
    <w:name w:val="footer"/>
    <w:basedOn w:val="Normal"/>
    <w:link w:val="FooterChar"/>
    <w:uiPriority w:val="99"/>
    <w:unhideWhenUsed/>
    <w:rsid w:val="0018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5C"/>
  </w:style>
  <w:style w:type="table" w:styleId="TableGrid">
    <w:name w:val="Table Grid"/>
    <w:basedOn w:val="TableNormal"/>
    <w:uiPriority w:val="39"/>
    <w:rsid w:val="003A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rorelaw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Nacif</dc:creator>
  <cp:keywords/>
  <dc:description/>
  <cp:lastModifiedBy>Lucas Nacif</cp:lastModifiedBy>
  <cp:revision>89</cp:revision>
  <cp:lastPrinted>2023-12-15T15:25:00Z</cp:lastPrinted>
  <dcterms:created xsi:type="dcterms:W3CDTF">2023-12-15T11:55:00Z</dcterms:created>
  <dcterms:modified xsi:type="dcterms:W3CDTF">2023-12-15T16:01:00Z</dcterms:modified>
</cp:coreProperties>
</file>